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89" w:firstLineChars="850"/>
        <w:rPr>
          <w:rFonts w:hint="eastAsia" w:ascii="仿宋_GB2312" w:hAnsi="宋体" w:eastAsia="仿宋_GB2312"/>
          <w:b/>
          <w:sz w:val="28"/>
          <w:szCs w:val="28"/>
        </w:rPr>
      </w:pPr>
      <w:r>
        <w:rPr>
          <w:rFonts w:hint="eastAsia" w:ascii="仿宋_GB2312" w:hAnsi="宋体" w:eastAsia="仿宋_GB2312"/>
          <w:b/>
          <w:sz w:val="28"/>
          <w:szCs w:val="28"/>
        </w:rPr>
        <w:t>初中英语学科完成三中菜单服务</w:t>
      </w:r>
    </w:p>
    <w:p>
      <w:pPr>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rPr>
        <w:t>11月18日下午，初中英语学科随中教部部分学科一起到长海三中进行为其三天的菜单调研服务。本次调研围绕着</w:t>
      </w:r>
      <w:r>
        <w:rPr>
          <w:rFonts w:hint="eastAsia" w:ascii="仿宋_GB2312" w:eastAsia="仿宋_GB2312"/>
          <w:bCs/>
          <w:sz w:val="28"/>
          <w:szCs w:val="28"/>
        </w:rPr>
        <w:t>“</w:t>
      </w:r>
      <w:r>
        <w:rPr>
          <w:rFonts w:hint="eastAsia" w:ascii="仿宋_GB2312" w:hAnsi="宋体" w:eastAsia="仿宋_GB2312"/>
          <w:bCs/>
          <w:sz w:val="28"/>
          <w:szCs w:val="28"/>
        </w:rPr>
        <w:t>课堂教与学行为转变和有效落实核心素养的指导</w:t>
      </w:r>
      <w:r>
        <w:rPr>
          <w:rFonts w:hint="eastAsia" w:ascii="仿宋_GB2312" w:eastAsia="仿宋_GB2312"/>
          <w:bCs/>
          <w:sz w:val="28"/>
          <w:szCs w:val="28"/>
        </w:rPr>
        <w:t>”开展工作</w:t>
      </w:r>
      <w:r>
        <w:rPr>
          <w:rFonts w:hint="eastAsia" w:ascii="仿宋_GB2312" w:eastAsia="仿宋_GB2312"/>
          <w:bCs/>
          <w:sz w:val="28"/>
          <w:szCs w:val="28"/>
          <w:lang w:eastAsia="zh-CN"/>
        </w:rPr>
        <w:t>。</w:t>
      </w:r>
    </w:p>
    <w:p>
      <w:pPr>
        <w:ind w:left="140" w:firstLine="420"/>
        <w:rPr>
          <w:rFonts w:hint="eastAsia" w:ascii="仿宋_GB2312" w:hAnsi="宋体" w:eastAsia="仿宋_GB2312"/>
          <w:sz w:val="28"/>
          <w:szCs w:val="28"/>
          <w:lang w:eastAsia="zh-CN"/>
        </w:rPr>
      </w:pPr>
      <w:r>
        <w:rPr>
          <w:rFonts w:hint="eastAsia" w:ascii="仿宋_GB2312" w:eastAsia="仿宋_GB2312"/>
          <w:bCs/>
          <w:sz w:val="28"/>
          <w:szCs w:val="28"/>
        </w:rPr>
        <w:t>调研期间，研训教师按照工作方案</w:t>
      </w:r>
      <w:r>
        <w:rPr>
          <w:rFonts w:hint="eastAsia" w:ascii="仿宋_GB2312" w:eastAsia="仿宋_GB2312"/>
          <w:b w:val="0"/>
          <w:bCs w:val="0"/>
          <w:sz w:val="28"/>
          <w:szCs w:val="28"/>
        </w:rPr>
        <w:t>，通过</w:t>
      </w:r>
      <w:r>
        <w:rPr>
          <w:rFonts w:hint="eastAsia" w:ascii="仿宋_GB2312" w:eastAsia="仿宋_GB2312"/>
          <w:b w:val="0"/>
          <w:bCs w:val="0"/>
          <w:sz w:val="28"/>
          <w:szCs w:val="28"/>
          <w:lang w:eastAsia="zh-CN"/>
        </w:rPr>
        <w:t>观摩常态课、</w:t>
      </w:r>
      <w:r>
        <w:rPr>
          <w:rFonts w:hint="eastAsia" w:ascii="仿宋_GB2312" w:hAnsi="宋体" w:eastAsia="仿宋_GB2312"/>
          <w:sz w:val="28"/>
          <w:szCs w:val="28"/>
        </w:rPr>
        <w:t>开展年级组小范围听评课教研活动</w:t>
      </w:r>
      <w:r>
        <w:rPr>
          <w:rFonts w:hint="eastAsia" w:ascii="仿宋_GB2312" w:hAnsi="宋体" w:eastAsia="仿宋_GB2312"/>
          <w:sz w:val="28"/>
          <w:szCs w:val="28"/>
          <w:lang w:eastAsia="zh-CN"/>
        </w:rPr>
        <w:t>、主题式教研组活动等方式，与学科教师共同学习明确学科核心素养的内涵，提高学科教师的理论素养；同时为促进教师教学行为的转变，研训教师又通过课例，对照《学业质量标准》与学科教师</w:t>
      </w:r>
      <w:r>
        <w:rPr>
          <w:rFonts w:hint="eastAsia" w:ascii="仿宋_GB2312" w:hAnsi="宋体" w:eastAsia="仿宋_GB2312"/>
          <w:sz w:val="28"/>
          <w:szCs w:val="28"/>
        </w:rPr>
        <w:t>进行有效沟通、互动。</w:t>
      </w:r>
      <w:r>
        <w:rPr>
          <w:rFonts w:hint="eastAsia" w:ascii="仿宋_GB2312" w:hAnsi="宋体" w:eastAsia="仿宋_GB2312"/>
          <w:sz w:val="28"/>
          <w:szCs w:val="28"/>
          <w:lang w:eastAsia="zh-CN"/>
        </w:rPr>
        <w:t>教师们积极反思，调整教学思路，依据学情设计提高学生英语学习能力的教学策略，收到了较好的效果。</w:t>
      </w:r>
    </w:p>
    <w:p>
      <w:pPr>
        <w:ind w:firstLine="560" w:firstLineChars="200"/>
        <w:rPr>
          <w:rFonts w:hint="eastAsia" w:ascii="仿宋_GB2312" w:hAnsi="宋体" w:eastAsia="仿宋_GB2312"/>
          <w:sz w:val="28"/>
          <w:szCs w:val="28"/>
        </w:rPr>
      </w:pPr>
      <w:r>
        <w:rPr>
          <w:rFonts w:hint="eastAsia" w:ascii="仿宋_GB2312" w:hAnsi="宋体" w:eastAsia="仿宋_GB2312"/>
          <w:sz w:val="28"/>
          <w:szCs w:val="28"/>
        </w:rPr>
        <w:t>教师的成长始于课例研究、环境再造。</w:t>
      </w:r>
      <w:r>
        <w:rPr>
          <w:rFonts w:hint="eastAsia" w:ascii="仿宋_GB2312" w:hAnsi="宋体" w:eastAsia="仿宋_GB2312"/>
          <w:sz w:val="28"/>
          <w:szCs w:val="28"/>
          <w:lang w:eastAsia="zh-CN"/>
        </w:rPr>
        <w:t>此次调研为基层学校教研组</w:t>
      </w:r>
      <w:r>
        <w:rPr>
          <w:rFonts w:hint="eastAsia" w:ascii="仿宋_GB2312" w:hAnsi="宋体" w:eastAsia="仿宋_GB2312"/>
          <w:sz w:val="28"/>
          <w:szCs w:val="28"/>
        </w:rPr>
        <w:t>将课例研究作为提升教师素养、教师学习的主渠道，对有效落实学科核心素养</w:t>
      </w:r>
      <w:r>
        <w:rPr>
          <w:rFonts w:hint="eastAsia" w:ascii="仿宋_GB2312" w:hAnsi="宋体" w:eastAsia="仿宋_GB2312"/>
          <w:sz w:val="28"/>
          <w:szCs w:val="28"/>
          <w:lang w:eastAsia="zh-CN"/>
        </w:rPr>
        <w:t>起到</w:t>
      </w:r>
      <w:r>
        <w:rPr>
          <w:rFonts w:hint="eastAsia" w:ascii="仿宋_GB2312" w:hAnsi="宋体" w:eastAsia="仿宋_GB2312"/>
          <w:sz w:val="28"/>
          <w:szCs w:val="28"/>
        </w:rPr>
        <w:t>了</w:t>
      </w:r>
      <w:r>
        <w:rPr>
          <w:rFonts w:hint="eastAsia" w:ascii="仿宋_GB2312" w:hAnsi="宋体" w:eastAsia="仿宋_GB2312"/>
          <w:sz w:val="28"/>
          <w:szCs w:val="28"/>
          <w:lang w:eastAsia="zh-CN"/>
        </w:rPr>
        <w:t>积极的引导作用</w:t>
      </w:r>
      <w:r>
        <w:rPr>
          <w:rFonts w:hint="eastAsia" w:ascii="仿宋_GB2312" w:hAnsi="宋体" w:eastAsia="仿宋_GB2312"/>
          <w:sz w:val="28"/>
          <w:szCs w:val="28"/>
        </w:rPr>
        <w:t>。</w:t>
      </w:r>
    </w:p>
    <w:p>
      <w:pPr>
        <w:rPr>
          <w:rFonts w:hint="eastAsia" w:ascii="仿宋_GB2312" w:hAnsi="宋体" w:eastAsia="仿宋_GB2312"/>
          <w:sz w:val="28"/>
          <w:szCs w:val="28"/>
          <w:lang w:eastAsia="zh-CN"/>
        </w:rPr>
      </w:pPr>
      <w:r>
        <w:rPr>
          <w:rFonts w:hint="eastAsia" w:ascii="仿宋_GB2312" w:hAnsi="宋体" w:eastAsia="仿宋_GB2312"/>
          <w:sz w:val="28"/>
          <w:szCs w:val="28"/>
          <w:lang w:eastAsia="zh-CN"/>
        </w:rPr>
        <w:drawing>
          <wp:inline distT="0" distB="0" distL="114300" distR="114300">
            <wp:extent cx="4478020" cy="2425065"/>
            <wp:effectExtent l="0" t="0" r="17780" b="13335"/>
            <wp:docPr id="1" name="图片 1" descr="IMG_20181119_082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181119_082701"/>
                    <pic:cNvPicPr>
                      <a:picLocks noChangeAspect="1"/>
                    </pic:cNvPicPr>
                  </pic:nvPicPr>
                  <pic:blipFill>
                    <a:blip r:embed="rId4"/>
                    <a:stretch>
                      <a:fillRect/>
                    </a:stretch>
                  </pic:blipFill>
                  <pic:spPr>
                    <a:xfrm>
                      <a:off x="0" y="0"/>
                      <a:ext cx="4478020" cy="2425065"/>
                    </a:xfrm>
                    <a:prstGeom prst="rect">
                      <a:avLst/>
                    </a:prstGeom>
                  </pic:spPr>
                </pic:pic>
              </a:graphicData>
            </a:graphic>
          </wp:inline>
        </w:drawing>
      </w:r>
    </w:p>
    <w:p>
      <w:pPr>
        <w:ind w:left="140" w:firstLine="420"/>
        <w:rPr>
          <w:rFonts w:hint="eastAsia" w:ascii="仿宋_GB2312" w:hAnsi="宋体" w:eastAsia="仿宋_GB2312"/>
          <w:sz w:val="28"/>
          <w:szCs w:val="28"/>
          <w:lang w:eastAsia="zh-CN"/>
        </w:rPr>
      </w:pPr>
    </w:p>
    <w:p>
      <w:pPr>
        <w:ind w:left="140" w:firstLine="420"/>
        <w:rPr>
          <w:rFonts w:hint="eastAsia" w:ascii="仿宋_GB2312" w:hAnsi="宋体" w:eastAsia="仿宋_GB2312"/>
          <w:sz w:val="28"/>
          <w:szCs w:val="28"/>
          <w:lang w:eastAsia="zh-CN"/>
        </w:rPr>
      </w:pPr>
    </w:p>
    <w:p>
      <w:pPr>
        <w:rPr>
          <w:rFonts w:hint="eastAsia" w:ascii="仿宋_GB2312" w:hAnsi="宋体" w:eastAsia="仿宋_GB2312"/>
          <w:sz w:val="28"/>
          <w:szCs w:val="28"/>
          <w:lang w:eastAsia="zh-CN"/>
        </w:rPr>
      </w:pPr>
      <w:r>
        <w:rPr>
          <w:rFonts w:hint="eastAsia" w:ascii="仿宋_GB2312" w:hAnsi="宋体" w:eastAsia="仿宋_GB2312"/>
          <w:sz w:val="28"/>
          <w:szCs w:val="28"/>
          <w:lang w:eastAsia="zh-CN"/>
        </w:rPr>
        <w:drawing>
          <wp:inline distT="0" distB="0" distL="114300" distR="114300">
            <wp:extent cx="4650105" cy="2320925"/>
            <wp:effectExtent l="0" t="0" r="17145" b="3175"/>
            <wp:docPr id="2" name="图片 2" descr="IMG_20181120_083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181120_083058"/>
                    <pic:cNvPicPr>
                      <a:picLocks noChangeAspect="1"/>
                    </pic:cNvPicPr>
                  </pic:nvPicPr>
                  <pic:blipFill>
                    <a:blip r:embed="rId5"/>
                    <a:stretch>
                      <a:fillRect/>
                    </a:stretch>
                  </pic:blipFill>
                  <pic:spPr>
                    <a:xfrm>
                      <a:off x="0" y="0"/>
                      <a:ext cx="4650105" cy="2320925"/>
                    </a:xfrm>
                    <a:prstGeom prst="rect">
                      <a:avLst/>
                    </a:prstGeom>
                  </pic:spPr>
                </pic:pic>
              </a:graphicData>
            </a:graphic>
          </wp:inline>
        </w:drawing>
      </w:r>
    </w:p>
    <w:p>
      <w:pPr>
        <w:rPr>
          <w:rFonts w:hint="eastAsia"/>
        </w:rPr>
      </w:pPr>
    </w:p>
    <w:p>
      <w:pPr>
        <w:rPr>
          <w:rFonts w:hint="eastAsia" w:eastAsia="宋体"/>
          <w:lang w:eastAsia="zh-CN"/>
        </w:rPr>
      </w:pPr>
    </w:p>
    <w:p>
      <w:pPr>
        <w:rPr>
          <w:rFonts w:hint="eastAsia" w:eastAsia="宋体"/>
          <w:lang w:eastAsia="zh-CN"/>
        </w:rPr>
      </w:pPr>
      <w:bookmarkStart w:id="0" w:name="_GoBack"/>
      <w:r>
        <w:rPr>
          <w:rFonts w:hint="eastAsia" w:eastAsia="宋体"/>
          <w:lang w:eastAsia="zh-CN"/>
        </w:rPr>
        <w:drawing>
          <wp:inline distT="0" distB="0" distL="114300" distR="114300">
            <wp:extent cx="4611370" cy="2569210"/>
            <wp:effectExtent l="0" t="0" r="17780" b="2540"/>
            <wp:docPr id="3" name="图片 3" descr="IMG_20181121_083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181121_083715"/>
                    <pic:cNvPicPr>
                      <a:picLocks noChangeAspect="1"/>
                    </pic:cNvPicPr>
                  </pic:nvPicPr>
                  <pic:blipFill>
                    <a:blip r:embed="rId6"/>
                    <a:stretch>
                      <a:fillRect/>
                    </a:stretch>
                  </pic:blipFill>
                  <pic:spPr>
                    <a:xfrm>
                      <a:off x="0" y="0"/>
                      <a:ext cx="4611370" cy="2569210"/>
                    </a:xfrm>
                    <a:prstGeom prst="rect">
                      <a:avLst/>
                    </a:prstGeom>
                  </pic:spPr>
                </pic:pic>
              </a:graphicData>
            </a:graphic>
          </wp:inline>
        </w:drawing>
      </w:r>
      <w:bookmarkEnd w:id="0"/>
    </w:p>
    <w:p>
      <w:pPr>
        <w:rPr>
          <w:rFonts w:hint="eastAsia" w:eastAsia="宋体"/>
          <w:lang w:eastAsia="zh-CN"/>
        </w:rPr>
      </w:pPr>
    </w:p>
    <w:p>
      <w:pPr>
        <w:rPr>
          <w:rFonts w:hint="eastAsia" w:eastAsia="宋体"/>
          <w:lang w:eastAsia="zh-CN"/>
        </w:rPr>
      </w:pPr>
      <w:r>
        <w:rPr>
          <w:rFonts w:hint="eastAsia" w:eastAsia="宋体"/>
          <w:lang w:eastAsia="zh-CN"/>
        </w:rPr>
        <w:drawing>
          <wp:inline distT="0" distB="0" distL="114300" distR="114300">
            <wp:extent cx="4716145" cy="2904490"/>
            <wp:effectExtent l="0" t="0" r="8255" b="10160"/>
            <wp:docPr id="4" name="图片 4" descr="IMG_20181119_090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181119_090446"/>
                    <pic:cNvPicPr>
                      <a:picLocks noChangeAspect="1"/>
                    </pic:cNvPicPr>
                  </pic:nvPicPr>
                  <pic:blipFill>
                    <a:blip r:embed="rId7"/>
                    <a:stretch>
                      <a:fillRect/>
                    </a:stretch>
                  </pic:blipFill>
                  <pic:spPr>
                    <a:xfrm>
                      <a:off x="0" y="0"/>
                      <a:ext cx="4716145" cy="2904490"/>
                    </a:xfrm>
                    <a:prstGeom prst="rect">
                      <a:avLst/>
                    </a:prstGeom>
                  </pic:spPr>
                </pic:pic>
              </a:graphicData>
            </a:graphic>
          </wp:inline>
        </w:drawing>
      </w:r>
    </w:p>
    <w:p>
      <w:pPr>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33BAF"/>
    <w:rsid w:val="00054FA2"/>
    <w:rsid w:val="00071D3E"/>
    <w:rsid w:val="000866CE"/>
    <w:rsid w:val="000A4388"/>
    <w:rsid w:val="000E74E7"/>
    <w:rsid w:val="00122EE1"/>
    <w:rsid w:val="00156B4A"/>
    <w:rsid w:val="001A3B05"/>
    <w:rsid w:val="001A5CD1"/>
    <w:rsid w:val="001B41BA"/>
    <w:rsid w:val="001E4487"/>
    <w:rsid w:val="00233BAF"/>
    <w:rsid w:val="002D0B6F"/>
    <w:rsid w:val="00342ECE"/>
    <w:rsid w:val="003661E9"/>
    <w:rsid w:val="003A5E79"/>
    <w:rsid w:val="004B6470"/>
    <w:rsid w:val="004C225C"/>
    <w:rsid w:val="00527F4B"/>
    <w:rsid w:val="00547D8B"/>
    <w:rsid w:val="00610819"/>
    <w:rsid w:val="006157E6"/>
    <w:rsid w:val="006461D1"/>
    <w:rsid w:val="00744F3E"/>
    <w:rsid w:val="00767DA0"/>
    <w:rsid w:val="00862723"/>
    <w:rsid w:val="009474C9"/>
    <w:rsid w:val="009F5269"/>
    <w:rsid w:val="00A91DC7"/>
    <w:rsid w:val="00B10E06"/>
    <w:rsid w:val="00B86E35"/>
    <w:rsid w:val="00B97844"/>
    <w:rsid w:val="00BD7E41"/>
    <w:rsid w:val="00CA4879"/>
    <w:rsid w:val="00CB3818"/>
    <w:rsid w:val="00D1681C"/>
    <w:rsid w:val="00D3426F"/>
    <w:rsid w:val="00D86E85"/>
    <w:rsid w:val="00D97A21"/>
    <w:rsid w:val="00E637AA"/>
    <w:rsid w:val="00F05AA8"/>
    <w:rsid w:val="00F118B4"/>
    <w:rsid w:val="00F315F7"/>
    <w:rsid w:val="00F35CDF"/>
    <w:rsid w:val="00F57562"/>
    <w:rsid w:val="00F63186"/>
    <w:rsid w:val="769E7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109</Words>
  <Characters>625</Characters>
  <Lines>5</Lines>
  <Paragraphs>1</Paragraphs>
  <TotalTime>12</TotalTime>
  <ScaleCrop>false</ScaleCrop>
  <LinksUpToDate>false</LinksUpToDate>
  <CharactersWithSpaces>733</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2018-11-23T02:31:00Z</dcterms:created>
  <dc:creator>Administrator</dc:creator>
  <cp:lastModifiedBy>Administrator</cp:lastModifiedBy>
  <dcterms:modified xsi:type="dcterms:W3CDTF">2018-11-23T06:16:49Z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